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01" w:rsidRPr="000B0501" w:rsidRDefault="000B0501" w:rsidP="000B0501">
      <w:pPr>
        <w:spacing w:line="360" w:lineRule="auto"/>
        <w:jc w:val="center"/>
        <w:rPr>
          <w:rFonts w:ascii="Arial" w:hAnsi="Arial" w:cs="Arial"/>
          <w:color w:val="505050"/>
          <w:sz w:val="18"/>
          <w:szCs w:val="18"/>
        </w:rPr>
      </w:pPr>
      <w:r w:rsidRPr="000B0501">
        <w:rPr>
          <w:rFonts w:ascii="黑体" w:eastAsia="黑体" w:hAnsi="华文中宋" w:hint="eastAsia"/>
          <w:b/>
          <w:bCs/>
          <w:iCs/>
          <w:sz w:val="44"/>
        </w:rPr>
        <w:t>ZGS系列组合式变压器（美式箱变）</w:t>
      </w:r>
    </w:p>
    <w:p w:rsidR="000B0501" w:rsidRPr="000B0501" w:rsidRDefault="000B0501">
      <w:pPr>
        <w:rPr>
          <w:rFonts w:ascii="Arial" w:hAnsi="Arial" w:cs="Arial"/>
          <w:b/>
          <w:color w:val="505050"/>
          <w:sz w:val="30"/>
          <w:szCs w:val="30"/>
        </w:rPr>
      </w:pPr>
      <w:r w:rsidRPr="000B0501">
        <w:rPr>
          <w:rFonts w:ascii="Arial" w:hAnsi="Arial" w:cs="Arial" w:hint="eastAsia"/>
          <w:b/>
          <w:color w:val="505050"/>
          <w:sz w:val="30"/>
          <w:szCs w:val="30"/>
        </w:rPr>
        <w:t>概述</w:t>
      </w:r>
    </w:p>
    <w:p w:rsidR="000B0501" w:rsidRPr="000B0501" w:rsidRDefault="000B0501">
      <w:pPr>
        <w:rPr>
          <w:rFonts w:ascii="宋体" w:eastAsia="宋体" w:hAnsi="宋体" w:cs="Arial"/>
          <w:color w:val="505050"/>
          <w:szCs w:val="21"/>
        </w:rPr>
      </w:pPr>
      <w:r w:rsidRPr="000B0501">
        <w:rPr>
          <w:rFonts w:ascii="宋体" w:eastAsia="宋体" w:hAnsi="宋体" w:cs="Arial"/>
          <w:color w:val="505050"/>
          <w:szCs w:val="21"/>
        </w:rPr>
        <w:t>ZGS系列组合式变压器(以下简称组合变)即美式箱变，它</w:t>
      </w:r>
      <w:proofErr w:type="gramStart"/>
      <w:r w:rsidRPr="000B0501">
        <w:rPr>
          <w:rFonts w:ascii="宋体" w:eastAsia="宋体" w:hAnsi="宋体" w:cs="Arial"/>
          <w:color w:val="505050"/>
          <w:szCs w:val="21"/>
        </w:rPr>
        <w:t>是集受电</w:t>
      </w:r>
      <w:proofErr w:type="gramEnd"/>
      <w:r w:rsidRPr="000B0501">
        <w:rPr>
          <w:rFonts w:ascii="宋体" w:eastAsia="宋体" w:hAnsi="宋体" w:cs="Arial"/>
          <w:color w:val="505050"/>
          <w:szCs w:val="21"/>
        </w:rPr>
        <w:t>、馈电及变压器等器件于一体的成套变配电装置：将变压器器身、高压负荷开关、保护熔断器等设备放在同一个油箱中（即共箱式）或将变压器器身与高压负荷开关、保护用熔断器等设备放在两个彼此隔离的油箱中（即分箱式），因而其体积小，结构紧凑；组合变高压外部引线为全绝缘结构，无需绝缘距离，在操作时以保证人身安全；200A电缆接头可带负荷插拔；可加避雷器、带电指示器、故障指示器等附件；联结组别采用Dyn11，其突出优点是电压质量高、中性点不漂移和降低三次谐波的干扰；组合变过载能力强、损耗小、抗短路能力强、防雷性能强和噪音低；即可用于环网，又可用于终端，转换方便，提高供电可靠性。同时，它具有多种低压方案及无功补偿自动投切功能，并具有防凝露措施。</w:t>
      </w:r>
    </w:p>
    <w:p w:rsidR="000B0501" w:rsidRPr="000B0501" w:rsidRDefault="000B0501" w:rsidP="000B0501">
      <w:pPr>
        <w:spacing w:line="620" w:lineRule="exact"/>
        <w:rPr>
          <w:rFonts w:ascii="宋体" w:eastAsia="宋体" w:hAnsi="宋体"/>
          <w:b/>
          <w:bCs/>
          <w:sz w:val="30"/>
          <w:szCs w:val="30"/>
        </w:rPr>
      </w:pPr>
      <w:r w:rsidRPr="000B0501">
        <w:rPr>
          <w:rFonts w:ascii="宋体" w:eastAsia="宋体" w:hAnsi="宋体" w:hint="eastAsia"/>
          <w:b/>
          <w:bCs/>
          <w:sz w:val="30"/>
          <w:szCs w:val="30"/>
        </w:rPr>
        <w:t>产品型号</w:t>
      </w:r>
      <w:r w:rsidR="00842846">
        <w:rPr>
          <w:rFonts w:ascii="宋体" w:eastAsia="宋体" w:hAnsi="宋体" w:hint="eastAsia"/>
          <w:b/>
          <w:bCs/>
          <w:sz w:val="30"/>
          <w:szCs w:val="30"/>
        </w:rPr>
        <w:t>及含义</w:t>
      </w:r>
    </w:p>
    <w:p w:rsidR="000B0501" w:rsidRPr="000B0501" w:rsidRDefault="000B0501" w:rsidP="000B0501">
      <w:pPr>
        <w:spacing w:line="620" w:lineRule="exact"/>
        <w:rPr>
          <w:rFonts w:ascii="宋体" w:eastAsia="宋体" w:hAnsi="宋体"/>
          <w:sz w:val="24"/>
          <w:szCs w:val="24"/>
        </w:rPr>
      </w:pPr>
      <w:r>
        <w:rPr>
          <w:rFonts w:ascii="华文中宋" w:eastAsia="华文中宋" w:hAnsi="华文中宋" w:hint="eastAsia"/>
          <w:sz w:val="24"/>
        </w:rPr>
        <w:t xml:space="preserve"> </w:t>
      </w:r>
      <w:r w:rsidRPr="000B0501">
        <w:rPr>
          <w:rFonts w:ascii="宋体" w:eastAsia="宋体" w:hAnsi="宋体" w:hint="eastAsia"/>
          <w:sz w:val="24"/>
          <w:szCs w:val="24"/>
        </w:rPr>
        <w:t xml:space="preserve">      </w:t>
      </w:r>
      <w:r w:rsidRPr="000B0501">
        <w:rPr>
          <w:rFonts w:ascii="宋体" w:eastAsia="宋体" w:hAnsi="宋体" w:hint="eastAsia"/>
          <w:b/>
          <w:sz w:val="24"/>
          <w:szCs w:val="24"/>
          <w:u w:val="single"/>
        </w:rPr>
        <w:t>Z G</w:t>
      </w:r>
      <w:r w:rsidRPr="000B0501">
        <w:rPr>
          <w:rFonts w:ascii="宋体" w:eastAsia="宋体" w:hAnsi="宋体"/>
          <w:b/>
          <w:sz w:val="24"/>
          <w:szCs w:val="24"/>
        </w:rPr>
        <w:t xml:space="preserve"> </w:t>
      </w:r>
      <w:r w:rsidRPr="000B0501">
        <w:rPr>
          <w:rFonts w:ascii="宋体" w:eastAsia="宋体" w:hAnsi="宋体" w:hint="eastAsia"/>
          <w:b/>
          <w:sz w:val="24"/>
          <w:szCs w:val="24"/>
          <w:u w:val="single"/>
        </w:rPr>
        <w:t>S</w:t>
      </w:r>
      <w:r w:rsidRPr="000B0501">
        <w:rPr>
          <w:rFonts w:ascii="宋体" w:eastAsia="宋体" w:hAnsi="宋体" w:hint="eastAsia"/>
          <w:b/>
          <w:sz w:val="24"/>
          <w:szCs w:val="24"/>
        </w:rPr>
        <w:t xml:space="preserve">  </w:t>
      </w:r>
      <w:r w:rsidRPr="000B0501">
        <w:rPr>
          <w:rFonts w:ascii="宋体" w:eastAsia="宋体" w:hAnsi="宋体" w:hint="eastAsia"/>
          <w:b/>
          <w:sz w:val="24"/>
          <w:szCs w:val="24"/>
          <w:u w:val="single"/>
        </w:rPr>
        <w:t>11</w:t>
      </w:r>
      <w:r w:rsidRPr="000B0501">
        <w:rPr>
          <w:rFonts w:ascii="宋体" w:eastAsia="宋体" w:hAnsi="宋体" w:hint="eastAsia"/>
          <w:sz w:val="24"/>
          <w:szCs w:val="24"/>
        </w:rPr>
        <w:t xml:space="preserve"> —  </w:t>
      </w:r>
      <w:r w:rsidRPr="000B0501">
        <w:rPr>
          <w:rFonts w:ascii="宋体" w:eastAsia="宋体" w:hAnsi="宋体" w:hint="eastAsia"/>
          <w:sz w:val="24"/>
          <w:szCs w:val="24"/>
          <w:bdr w:val="single" w:sz="4" w:space="0" w:color="auto"/>
        </w:rPr>
        <w:t xml:space="preserve">  </w:t>
      </w:r>
      <w:r w:rsidRPr="000B0501">
        <w:rPr>
          <w:rFonts w:ascii="宋体" w:eastAsia="宋体" w:hAnsi="宋体"/>
          <w:sz w:val="24"/>
          <w:szCs w:val="24"/>
          <w:bdr w:val="single" w:sz="4" w:space="0" w:color="auto"/>
        </w:rPr>
        <w:t xml:space="preserve"> </w:t>
      </w:r>
      <w:r w:rsidRPr="000B0501">
        <w:rPr>
          <w:rFonts w:ascii="宋体" w:eastAsia="宋体" w:hAnsi="宋体" w:hint="eastAsia"/>
          <w:sz w:val="24"/>
          <w:szCs w:val="24"/>
        </w:rPr>
        <w:t xml:space="preserve"> —</w:t>
      </w:r>
      <w:r w:rsidRPr="000B0501">
        <w:rPr>
          <w:rFonts w:ascii="宋体" w:eastAsia="宋体" w:hAnsi="宋体"/>
          <w:sz w:val="24"/>
          <w:szCs w:val="24"/>
          <w:bdr w:val="single" w:sz="4" w:space="0" w:color="auto"/>
        </w:rPr>
        <w:tab/>
      </w:r>
      <w:r w:rsidRPr="000B0501">
        <w:rPr>
          <w:rFonts w:ascii="宋体" w:eastAsia="宋体" w:hAnsi="宋体" w:hint="eastAsia"/>
          <w:sz w:val="24"/>
          <w:szCs w:val="24"/>
          <w:bdr w:val="single" w:sz="4" w:space="0" w:color="auto"/>
        </w:rPr>
        <w:t xml:space="preserve">    </w:t>
      </w:r>
      <w:r w:rsidRPr="000B0501">
        <w:rPr>
          <w:rFonts w:ascii="宋体" w:eastAsia="宋体" w:hAnsi="宋体"/>
          <w:sz w:val="24"/>
          <w:szCs w:val="24"/>
        </w:rPr>
        <w:t xml:space="preserve"> /</w:t>
      </w:r>
      <w:r w:rsidRPr="000B0501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0B0501">
        <w:rPr>
          <w:rFonts w:ascii="宋体" w:eastAsia="宋体" w:hAnsi="宋体"/>
          <w:sz w:val="24"/>
          <w:szCs w:val="24"/>
          <w:bdr w:val="single" w:sz="4" w:space="0" w:color="auto"/>
        </w:rPr>
        <w:tab/>
      </w:r>
      <w:r w:rsidRPr="000B0501">
        <w:rPr>
          <w:rFonts w:ascii="宋体" w:eastAsia="宋体" w:hAnsi="宋体" w:hint="eastAsia"/>
          <w:sz w:val="24"/>
          <w:szCs w:val="24"/>
          <w:bdr w:val="single" w:sz="4" w:space="0" w:color="auto"/>
        </w:rPr>
        <w:t xml:space="preserve"> </w:t>
      </w:r>
    </w:p>
    <w:p w:rsidR="000B0501" w:rsidRPr="000B0501" w:rsidRDefault="00E310B1" w:rsidP="000B0501">
      <w:pPr>
        <w:spacing w:line="620" w:lineRule="exact"/>
        <w:ind w:firstLineChars="2300" w:firstLine="55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pict>
          <v:line id="_x0000_s1028" style="position:absolute;left:0;text-align:left;z-index:251662336" from="175.5pt,1.5pt" to="175.5pt,49pt"/>
        </w:pict>
      </w:r>
      <w:r>
        <w:rPr>
          <w:rFonts w:ascii="宋体" w:eastAsia="宋体" w:hAnsi="宋体"/>
          <w:noProof/>
          <w:sz w:val="24"/>
          <w:szCs w:val="24"/>
        </w:rPr>
        <w:pict>
          <v:line id="_x0000_s1036" style="position:absolute;left:0;text-align:left;z-index:251670528" from="49pt,1.5pt" to="49pt,210.5pt"/>
        </w:pict>
      </w:r>
      <w:r>
        <w:rPr>
          <w:rFonts w:ascii="宋体" w:eastAsia="宋体" w:hAnsi="宋体"/>
          <w:noProof/>
          <w:sz w:val="24"/>
          <w:szCs w:val="24"/>
        </w:rPr>
        <w:pict>
          <v:line id="_x0000_s1030" style="position:absolute;left:0;text-align:left;z-index:251664384" from="133pt,1.5pt" to="133pt,87pt"/>
        </w:pict>
      </w:r>
      <w:r>
        <w:rPr>
          <w:rFonts w:ascii="宋体" w:eastAsia="宋体" w:hAnsi="宋体"/>
          <w:noProof/>
          <w:sz w:val="24"/>
          <w:szCs w:val="24"/>
        </w:rPr>
        <w:pict>
          <v:line id="_x0000_s1032" style="position:absolute;left:0;text-align:left;z-index:251666432" from="91pt,1.5pt" to="91pt,143pt"/>
        </w:pict>
      </w:r>
      <w:r>
        <w:rPr>
          <w:rFonts w:ascii="宋体" w:eastAsia="宋体" w:hAnsi="宋体"/>
          <w:noProof/>
          <w:sz w:val="24"/>
          <w:szCs w:val="24"/>
        </w:rPr>
        <w:pict>
          <v:line id="_x0000_s1027" style="position:absolute;left:0;text-align:left;flip:y;z-index:251661312" from="231pt,20.5pt" to="238pt,20.5pt"/>
        </w:pict>
      </w:r>
      <w:r>
        <w:rPr>
          <w:rFonts w:ascii="宋体" w:eastAsia="宋体" w:hAnsi="宋体"/>
          <w:noProof/>
          <w:sz w:val="24"/>
          <w:szCs w:val="24"/>
        </w:rPr>
        <w:pict>
          <v:line id="_x0000_s1026" style="position:absolute;left:0;text-align:left;z-index:251660288" from="231pt,1.5pt" to="231pt,20.5pt"/>
        </w:pict>
      </w:r>
      <w:r>
        <w:rPr>
          <w:rFonts w:ascii="宋体" w:eastAsia="宋体" w:hAnsi="宋体"/>
          <w:noProof/>
          <w:sz w:val="24"/>
          <w:szCs w:val="24"/>
        </w:rPr>
        <w:pict>
          <v:line id="_x0000_s1034" style="position:absolute;left:0;text-align:left;z-index:251668480" from="70pt,1.5pt" to="70pt,171.5pt"/>
        </w:pict>
      </w:r>
      <w:r w:rsidR="000B0501" w:rsidRPr="000B0501">
        <w:rPr>
          <w:rFonts w:ascii="宋体" w:eastAsia="宋体" w:hAnsi="宋体" w:hint="eastAsia"/>
          <w:sz w:val="24"/>
          <w:szCs w:val="24"/>
        </w:rPr>
        <w:t>电压等级 kV</w:t>
      </w:r>
    </w:p>
    <w:p w:rsidR="000B0501" w:rsidRPr="000B0501" w:rsidRDefault="00E310B1" w:rsidP="000B0501">
      <w:pPr>
        <w:spacing w:line="620" w:lineRule="exact"/>
        <w:ind w:firstLineChars="2000" w:firstLine="48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pict>
          <v:line id="_x0000_s1029" style="position:absolute;left:0;text-align:left;z-index:251663360" from="175.5pt,18pt" to="238pt,18pt"/>
        </w:pict>
      </w:r>
      <w:r w:rsidR="000B0501" w:rsidRPr="000B0501">
        <w:rPr>
          <w:rFonts w:ascii="宋体" w:eastAsia="宋体" w:hAnsi="宋体" w:hint="eastAsia"/>
          <w:sz w:val="24"/>
          <w:szCs w:val="24"/>
        </w:rPr>
        <w:t xml:space="preserve">额定容量 </w:t>
      </w:r>
      <w:proofErr w:type="spellStart"/>
      <w:r w:rsidR="000B0501" w:rsidRPr="000B0501">
        <w:rPr>
          <w:rFonts w:ascii="宋体" w:eastAsia="宋体" w:hAnsi="宋体" w:hint="eastAsia"/>
          <w:sz w:val="24"/>
          <w:szCs w:val="24"/>
        </w:rPr>
        <w:t>kVA</w:t>
      </w:r>
      <w:proofErr w:type="spellEnd"/>
    </w:p>
    <w:p w:rsidR="000B0501" w:rsidRPr="000B0501" w:rsidRDefault="00E310B1" w:rsidP="000B0501">
      <w:pPr>
        <w:spacing w:line="620" w:lineRule="exact"/>
        <w:ind w:firstLineChars="2000" w:firstLine="48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pict>
          <v:line id="_x0000_s1031" style="position:absolute;left:0;text-align:left;z-index:251665408" from="133pt,25pt" to="238pt,25pt"/>
        </w:pict>
      </w:r>
      <w:r w:rsidR="000B0501" w:rsidRPr="000B0501">
        <w:rPr>
          <w:rFonts w:ascii="宋体" w:eastAsia="宋体" w:hAnsi="宋体" w:hint="eastAsia"/>
          <w:sz w:val="24"/>
          <w:szCs w:val="24"/>
        </w:rPr>
        <w:t xml:space="preserve">压接线方案H—“环”网 </w:t>
      </w:r>
    </w:p>
    <w:p w:rsidR="000B0501" w:rsidRPr="000B0501" w:rsidRDefault="000B0501" w:rsidP="000B0501">
      <w:pPr>
        <w:spacing w:line="620" w:lineRule="exact"/>
        <w:ind w:firstLineChars="2000" w:firstLine="4800"/>
        <w:rPr>
          <w:rFonts w:ascii="宋体" w:eastAsia="宋体" w:hAnsi="宋体"/>
          <w:sz w:val="24"/>
          <w:szCs w:val="24"/>
        </w:rPr>
      </w:pPr>
      <w:r w:rsidRPr="000B0501">
        <w:rPr>
          <w:rFonts w:ascii="宋体" w:eastAsia="宋体" w:hAnsi="宋体" w:hint="eastAsia"/>
          <w:sz w:val="24"/>
          <w:szCs w:val="24"/>
        </w:rPr>
        <w:t>Z—“终”端</w:t>
      </w:r>
    </w:p>
    <w:p w:rsidR="000B0501" w:rsidRPr="000B0501" w:rsidRDefault="00E310B1" w:rsidP="000B0501">
      <w:pPr>
        <w:spacing w:line="620" w:lineRule="exact"/>
        <w:ind w:firstLineChars="2000" w:firstLine="48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pict>
          <v:line id="_x0000_s1033" style="position:absolute;left:0;text-align:left;z-index:251667456" from="91pt,20pt" to="238pt,20pt"/>
        </w:pict>
      </w:r>
      <w:r w:rsidR="000B0501" w:rsidRPr="000B0501">
        <w:rPr>
          <w:rFonts w:ascii="宋体" w:eastAsia="宋体" w:hAnsi="宋体" w:hint="eastAsia"/>
          <w:sz w:val="24"/>
          <w:szCs w:val="24"/>
        </w:rPr>
        <w:t>性能水平代号</w:t>
      </w:r>
    </w:p>
    <w:p w:rsidR="000B0501" w:rsidRPr="000B0501" w:rsidRDefault="00E310B1" w:rsidP="000B0501">
      <w:pPr>
        <w:spacing w:line="620" w:lineRule="exact"/>
        <w:ind w:firstLineChars="2000" w:firstLine="48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pict>
          <v:line id="_x0000_s1035" style="position:absolute;left:0;text-align:left;z-index:251669504" from="70pt,17.5pt" to="238pt,17.5pt"/>
        </w:pict>
      </w:r>
      <w:r w:rsidR="000B0501" w:rsidRPr="000B0501">
        <w:rPr>
          <w:rFonts w:ascii="宋体" w:eastAsia="宋体" w:hAnsi="宋体" w:hint="eastAsia"/>
          <w:sz w:val="24"/>
          <w:szCs w:val="24"/>
        </w:rPr>
        <w:t>三相</w:t>
      </w:r>
    </w:p>
    <w:p w:rsidR="000B0501" w:rsidRDefault="00E310B1" w:rsidP="000B0501">
      <w:pPr>
        <w:spacing w:line="620" w:lineRule="exact"/>
        <w:ind w:firstLineChars="2000" w:firstLine="4800"/>
        <w:rPr>
          <w:rFonts w:ascii="Arial" w:hAnsi="Arial" w:cs="Arial"/>
          <w:color w:val="505050"/>
          <w:sz w:val="18"/>
          <w:szCs w:val="18"/>
        </w:rPr>
      </w:pPr>
      <w:r w:rsidRPr="00E310B1">
        <w:rPr>
          <w:rFonts w:ascii="宋体" w:eastAsia="宋体" w:hAnsi="宋体"/>
          <w:noProof/>
          <w:sz w:val="24"/>
          <w:szCs w:val="24"/>
        </w:rPr>
        <w:pict>
          <v:line id="_x0000_s1037" style="position:absolute;left:0;text-align:left;z-index:251671552" from="49pt,24.5pt" to="238pt,24.5pt"/>
        </w:pict>
      </w:r>
      <w:r w:rsidR="000B0501" w:rsidRPr="000B0501">
        <w:rPr>
          <w:rFonts w:ascii="宋体" w:eastAsia="宋体" w:hAnsi="宋体" w:hint="eastAsia"/>
          <w:sz w:val="24"/>
          <w:szCs w:val="24"/>
        </w:rPr>
        <w:t>共箱式组合式变压器</w:t>
      </w:r>
    </w:p>
    <w:p w:rsidR="000B0501" w:rsidRDefault="000B0501" w:rsidP="000B0501">
      <w:pPr>
        <w:rPr>
          <w:rFonts w:ascii="Arial" w:hAnsi="Arial" w:cs="Arial"/>
          <w:b/>
          <w:color w:val="505050"/>
          <w:sz w:val="30"/>
          <w:szCs w:val="30"/>
        </w:rPr>
      </w:pPr>
      <w:r w:rsidRPr="000B0501">
        <w:rPr>
          <w:rFonts w:ascii="Arial" w:hAnsi="Arial" w:cs="Arial" w:hint="eastAsia"/>
          <w:b/>
          <w:color w:val="505050"/>
          <w:sz w:val="30"/>
          <w:szCs w:val="30"/>
        </w:rPr>
        <w:t>引用标准</w:t>
      </w:r>
    </w:p>
    <w:p w:rsidR="000B0501" w:rsidRDefault="000B0501" w:rsidP="000B0501">
      <w:pPr>
        <w:rPr>
          <w:rFonts w:ascii="宋体" w:eastAsia="宋体" w:hAnsi="宋体" w:cs="Arial"/>
          <w:color w:val="505050"/>
          <w:szCs w:val="21"/>
        </w:rPr>
      </w:pPr>
      <w:r w:rsidRPr="000B0501">
        <w:rPr>
          <w:rFonts w:ascii="宋体" w:eastAsia="宋体" w:hAnsi="宋体" w:cs="Arial"/>
          <w:color w:val="505050"/>
          <w:szCs w:val="21"/>
        </w:rPr>
        <w:t>JB/T10217-2000　　组合式变压器（达</w:t>
      </w:r>
      <w:proofErr w:type="gramStart"/>
      <w:r w:rsidRPr="000B0501">
        <w:rPr>
          <w:rFonts w:ascii="宋体" w:eastAsia="宋体" w:hAnsi="宋体" w:cs="Arial"/>
          <w:color w:val="505050"/>
          <w:szCs w:val="21"/>
        </w:rPr>
        <w:t>驰公司</w:t>
      </w:r>
      <w:proofErr w:type="gramEnd"/>
      <w:r w:rsidRPr="000B0501">
        <w:rPr>
          <w:rFonts w:ascii="宋体" w:eastAsia="宋体" w:hAnsi="宋体" w:cs="Arial"/>
          <w:color w:val="505050"/>
          <w:szCs w:val="21"/>
        </w:rPr>
        <w:t xml:space="preserve">参与起草了本标准） </w:t>
      </w:r>
      <w:r w:rsidRPr="000B0501">
        <w:rPr>
          <w:rFonts w:ascii="宋体" w:eastAsia="宋体" w:hAnsi="宋体" w:cs="Arial"/>
          <w:color w:val="505050"/>
          <w:szCs w:val="21"/>
        </w:rPr>
        <w:br/>
        <w:t xml:space="preserve">GB4208-2003　　</w:t>
      </w:r>
      <w:proofErr w:type="gramStart"/>
      <w:r w:rsidRPr="000B0501">
        <w:rPr>
          <w:rFonts w:ascii="宋体" w:eastAsia="宋体" w:hAnsi="宋体" w:cs="Arial"/>
          <w:color w:val="505050"/>
          <w:szCs w:val="21"/>
        </w:rPr>
        <w:t xml:space="preserve">　</w:t>
      </w:r>
      <w:proofErr w:type="gramEnd"/>
      <w:r w:rsidRPr="000B0501">
        <w:rPr>
          <w:rFonts w:ascii="宋体" w:eastAsia="宋体" w:hAnsi="宋体" w:cs="Arial"/>
          <w:color w:val="505050"/>
          <w:szCs w:val="21"/>
        </w:rPr>
        <w:t>外壳防护等级（IP 代码）（</w:t>
      </w:r>
      <w:proofErr w:type="spellStart"/>
      <w:r w:rsidRPr="000B0501">
        <w:rPr>
          <w:rFonts w:ascii="宋体" w:eastAsia="宋体" w:hAnsi="宋体" w:cs="Arial"/>
          <w:color w:val="505050"/>
          <w:szCs w:val="21"/>
        </w:rPr>
        <w:t>eqv</w:t>
      </w:r>
      <w:proofErr w:type="spellEnd"/>
      <w:r w:rsidRPr="000B0501">
        <w:rPr>
          <w:rFonts w:ascii="宋体" w:eastAsia="宋体" w:hAnsi="宋体" w:cs="Arial"/>
          <w:color w:val="505050"/>
          <w:szCs w:val="21"/>
        </w:rPr>
        <w:t xml:space="preserve"> IEC 60529：2001）</w:t>
      </w:r>
      <w:r w:rsidRPr="000B0501">
        <w:rPr>
          <w:rFonts w:ascii="宋体" w:eastAsia="宋体" w:hAnsi="宋体" w:cs="Arial"/>
          <w:color w:val="505050"/>
          <w:szCs w:val="21"/>
        </w:rPr>
        <w:br/>
        <w:t>GB1094.1-1996　　电力变压器 总则</w:t>
      </w:r>
      <w:r w:rsidRPr="000B0501">
        <w:rPr>
          <w:rFonts w:ascii="宋体" w:eastAsia="宋体" w:hAnsi="宋体" w:cs="Arial"/>
          <w:color w:val="505050"/>
          <w:szCs w:val="21"/>
        </w:rPr>
        <w:br/>
        <w:t>GB1094.2-1996　　电力变压器 温升</w:t>
      </w:r>
      <w:r w:rsidRPr="000B0501">
        <w:rPr>
          <w:rFonts w:ascii="宋体" w:eastAsia="宋体" w:hAnsi="宋体" w:cs="Arial"/>
          <w:color w:val="505050"/>
          <w:szCs w:val="21"/>
        </w:rPr>
        <w:br/>
        <w:t xml:space="preserve">GB6451-2008　　</w:t>
      </w:r>
      <w:proofErr w:type="gramStart"/>
      <w:r w:rsidRPr="000B0501">
        <w:rPr>
          <w:rFonts w:ascii="宋体" w:eastAsia="宋体" w:hAnsi="宋体" w:cs="Arial"/>
          <w:color w:val="505050"/>
          <w:szCs w:val="21"/>
        </w:rPr>
        <w:t xml:space="preserve">　</w:t>
      </w:r>
      <w:proofErr w:type="gramEnd"/>
      <w:r w:rsidRPr="000B0501">
        <w:rPr>
          <w:rFonts w:ascii="宋体" w:eastAsia="宋体" w:hAnsi="宋体" w:cs="Arial"/>
          <w:color w:val="505050"/>
          <w:szCs w:val="21"/>
        </w:rPr>
        <w:t>油浸式电力变压器技术参数要求</w:t>
      </w:r>
    </w:p>
    <w:p w:rsidR="000B0501" w:rsidRPr="000B0501" w:rsidRDefault="000B0501" w:rsidP="000B0501">
      <w:pPr>
        <w:rPr>
          <w:rFonts w:ascii="Arial" w:hAnsi="Arial" w:cs="Arial"/>
          <w:b/>
          <w:color w:val="505050"/>
          <w:sz w:val="30"/>
          <w:szCs w:val="30"/>
        </w:rPr>
      </w:pPr>
      <w:r w:rsidRPr="000B0501">
        <w:rPr>
          <w:rFonts w:ascii="Arial" w:hAnsi="Arial" w:cs="Arial" w:hint="eastAsia"/>
          <w:b/>
          <w:color w:val="505050"/>
          <w:sz w:val="30"/>
          <w:szCs w:val="30"/>
        </w:rPr>
        <w:t>技术参数</w:t>
      </w:r>
    </w:p>
    <w:tbl>
      <w:tblPr>
        <w:tblW w:w="9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1"/>
        <w:gridCol w:w="3614"/>
        <w:gridCol w:w="999"/>
        <w:gridCol w:w="3726"/>
      </w:tblGrid>
      <w:tr w:rsidR="000B0501" w:rsidRPr="000B0501" w:rsidTr="000B0501">
        <w:trPr>
          <w:tblCellSpacing w:w="15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序号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No.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名称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单位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技术参数</w:t>
            </w:r>
          </w:p>
        </w:tc>
      </w:tr>
      <w:tr w:rsidR="000B0501" w:rsidRPr="000B0501" w:rsidTr="000B0501">
        <w:trPr>
          <w:tblCellSpacing w:w="15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额定容量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proofErr w:type="spellStart"/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kVA</w:t>
            </w:r>
            <w:proofErr w:type="spellEnd"/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100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125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 xml:space="preserve"> 160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200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250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315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400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500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lastRenderedPageBreak/>
              <w:t>630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800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1000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1250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1600</w:t>
            </w:r>
          </w:p>
        </w:tc>
      </w:tr>
      <w:tr w:rsidR="000B0501" w:rsidRPr="000B0501" w:rsidTr="000B0501">
        <w:trPr>
          <w:tblCellSpacing w:w="15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额定电压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kV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6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10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35</w:t>
            </w:r>
          </w:p>
        </w:tc>
      </w:tr>
      <w:tr w:rsidR="000B0501" w:rsidRPr="000B0501" w:rsidTr="000B0501">
        <w:trPr>
          <w:tblCellSpacing w:w="15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高压分接范围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±5%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±2×2.5%</w:t>
            </w:r>
          </w:p>
        </w:tc>
      </w:tr>
      <w:tr w:rsidR="000B0501" w:rsidRPr="000B0501" w:rsidTr="000B0501">
        <w:trPr>
          <w:tblCellSpacing w:w="15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联接组别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Dyn11 Yyn0</w:t>
            </w:r>
          </w:p>
        </w:tc>
      </w:tr>
      <w:tr w:rsidR="000B0501" w:rsidRPr="000B0501" w:rsidTr="000B0501">
        <w:trPr>
          <w:tblCellSpacing w:w="15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5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工作耐压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kV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25kV/min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35kV/min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85kV/min</w:t>
            </w:r>
          </w:p>
        </w:tc>
      </w:tr>
      <w:tr w:rsidR="000B0501" w:rsidRPr="000B0501" w:rsidTr="000B0501">
        <w:trPr>
          <w:tblCellSpacing w:w="15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6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雷电冲击电压截波（峰值）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kV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65kV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85kV</w:t>
            </w:r>
          </w:p>
        </w:tc>
      </w:tr>
      <w:tr w:rsidR="000B0501" w:rsidRPr="000B0501" w:rsidTr="000B0501">
        <w:trPr>
          <w:tblCellSpacing w:w="15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7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后备式熔断器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A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制造厂家按容量确定</w:t>
            </w:r>
          </w:p>
        </w:tc>
      </w:tr>
      <w:tr w:rsidR="000B0501" w:rsidRPr="000B0501" w:rsidTr="000B0501">
        <w:trPr>
          <w:tblCellSpacing w:w="15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8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插入式熔断器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A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制造厂家按容量确定</w:t>
            </w:r>
          </w:p>
        </w:tc>
      </w:tr>
      <w:tr w:rsidR="000B0501" w:rsidRPr="000B0501" w:rsidTr="000B0501">
        <w:trPr>
          <w:tblCellSpacing w:w="15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9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负荷开关额定电流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A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300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、</w:t>
            </w: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630</w:t>
            </w:r>
          </w:p>
        </w:tc>
      </w:tr>
      <w:tr w:rsidR="000B0501" w:rsidRPr="000B0501" w:rsidTr="000B0501">
        <w:trPr>
          <w:tblCellSpacing w:w="15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10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油顶层温升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K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&lt;65</w:t>
            </w:r>
          </w:p>
        </w:tc>
      </w:tr>
      <w:tr w:rsidR="000B0501" w:rsidRPr="000B0501" w:rsidTr="000B0501">
        <w:trPr>
          <w:tblCellSpacing w:w="15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11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噪声水平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dB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501" w:rsidRPr="000B0501" w:rsidRDefault="000B0501" w:rsidP="000B0501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</w:pPr>
            <w:r w:rsidRPr="000B0501">
              <w:rPr>
                <w:rFonts w:ascii="Arial" w:eastAsia="宋体" w:hAnsi="Arial" w:cs="Arial"/>
                <w:color w:val="505050"/>
                <w:kern w:val="0"/>
                <w:sz w:val="18"/>
                <w:szCs w:val="18"/>
              </w:rPr>
              <w:t>≤52</w:t>
            </w:r>
          </w:p>
        </w:tc>
      </w:tr>
    </w:tbl>
    <w:p w:rsidR="000B0501" w:rsidRDefault="000B0501" w:rsidP="000B0501">
      <w:pPr>
        <w:pStyle w:val="a3"/>
        <w:spacing w:line="384" w:lineRule="auto"/>
        <w:rPr>
          <w:rFonts w:ascii="Arial" w:hAnsi="Arial" w:cs="Arial"/>
          <w:b/>
          <w:color w:val="505050"/>
          <w:sz w:val="30"/>
          <w:szCs w:val="30"/>
        </w:rPr>
      </w:pPr>
      <w:r w:rsidRPr="000B0501">
        <w:rPr>
          <w:rFonts w:ascii="Arial" w:hAnsi="Arial" w:cs="Arial" w:hint="eastAsia"/>
          <w:b/>
          <w:color w:val="505050"/>
          <w:sz w:val="30"/>
          <w:szCs w:val="30"/>
        </w:rPr>
        <w:t>结构特征</w:t>
      </w:r>
    </w:p>
    <w:p w:rsidR="000B0501" w:rsidRDefault="000B0501" w:rsidP="000B0501">
      <w:pPr>
        <w:pStyle w:val="a3"/>
        <w:spacing w:line="384" w:lineRule="auto"/>
        <w:rPr>
          <w:rFonts w:ascii="Arial" w:hAnsi="Arial" w:cs="Arial" w:hint="eastAsia"/>
          <w:color w:val="505050"/>
          <w:sz w:val="21"/>
          <w:szCs w:val="21"/>
        </w:rPr>
      </w:pPr>
      <w:r w:rsidRPr="000B0501">
        <w:rPr>
          <w:rFonts w:cs="Arial"/>
          <w:color w:val="505050"/>
          <w:sz w:val="21"/>
          <w:szCs w:val="21"/>
        </w:rPr>
        <w:t>外形美观、结构紧凑、体积小、拆装灵活、方便，全密封，高、低压部件分隔共置于箱体内，仅相当于同类箱式变体积的1/5～1/3。</w:t>
      </w:r>
      <w:r w:rsidRPr="000B0501">
        <w:rPr>
          <w:rFonts w:cs="Arial"/>
          <w:color w:val="505050"/>
          <w:sz w:val="21"/>
          <w:szCs w:val="21"/>
        </w:rPr>
        <w:br/>
        <w:t xml:space="preserve">　　箱内</w:t>
      </w:r>
      <w:proofErr w:type="gramStart"/>
      <w:r w:rsidRPr="000B0501">
        <w:rPr>
          <w:rFonts w:cs="Arial"/>
          <w:color w:val="505050"/>
          <w:sz w:val="21"/>
          <w:szCs w:val="21"/>
        </w:rPr>
        <w:t>低压室</w:t>
      </w:r>
      <w:proofErr w:type="gramEnd"/>
      <w:r w:rsidRPr="000B0501">
        <w:rPr>
          <w:rFonts w:cs="Arial"/>
          <w:color w:val="505050"/>
          <w:sz w:val="21"/>
          <w:szCs w:val="21"/>
        </w:rPr>
        <w:t>留有空间，可供用户安装低压开关、互感器、计量</w:t>
      </w:r>
      <w:proofErr w:type="gramStart"/>
      <w:r w:rsidRPr="000B0501">
        <w:rPr>
          <w:rFonts w:cs="Arial"/>
          <w:color w:val="505050"/>
          <w:sz w:val="21"/>
          <w:szCs w:val="21"/>
        </w:rPr>
        <w:t>及远控装置</w:t>
      </w:r>
      <w:proofErr w:type="gramEnd"/>
      <w:r w:rsidRPr="000B0501">
        <w:rPr>
          <w:rFonts w:cs="Arial"/>
          <w:color w:val="505050"/>
          <w:sz w:val="21"/>
          <w:szCs w:val="21"/>
        </w:rPr>
        <w:t>。</w:t>
      </w:r>
      <w:r w:rsidRPr="000B0501">
        <w:rPr>
          <w:rFonts w:cs="Arial"/>
          <w:color w:val="505050"/>
          <w:sz w:val="21"/>
          <w:szCs w:val="21"/>
        </w:rPr>
        <w:br/>
        <w:t xml:space="preserve">　　安全可靠：独特的箱体防腐设计和特殊喷漆处理，可广泛用于各种恶劣环境条件下，如多暴风雨和高污染地区。箱体采用密封设计，免维护。合理布置高低部件分隔安装，采用高压接线端子绝缘保护套</w:t>
      </w:r>
      <w:proofErr w:type="gramStart"/>
      <w:r w:rsidRPr="000B0501">
        <w:rPr>
          <w:rFonts w:cs="Arial"/>
          <w:color w:val="505050"/>
          <w:sz w:val="21"/>
          <w:szCs w:val="21"/>
        </w:rPr>
        <w:t>或肘型电缆</w:t>
      </w:r>
      <w:proofErr w:type="gramEnd"/>
      <w:r w:rsidRPr="000B0501">
        <w:rPr>
          <w:rFonts w:cs="Arial"/>
          <w:color w:val="505050"/>
          <w:sz w:val="21"/>
          <w:szCs w:val="21"/>
        </w:rPr>
        <w:t>插头，保证了操作安全。变压器采用插入式熔断器和后备式熔断器的双重保护，插入式熔断器熔丝为温度和电流的双敏熔丝，起过载保护作用；后备式熔断器熔丝对变压器起短路保护。高压负荷开关安装在变压器油箱中，开关体积小，可360°方向任意切换，能安全可靠的分断负荷电流，使用方便，供电可靠性高。</w:t>
      </w:r>
      <w:r w:rsidRPr="000B0501">
        <w:rPr>
          <w:rFonts w:cs="Arial"/>
          <w:color w:val="505050"/>
          <w:sz w:val="21"/>
          <w:szCs w:val="21"/>
        </w:rPr>
        <w:br/>
      </w:r>
      <w:r w:rsidRPr="000B0501">
        <w:rPr>
          <w:rFonts w:ascii="Arial" w:hAnsi="Arial" w:cs="Arial"/>
          <w:color w:val="505050"/>
          <w:sz w:val="21"/>
          <w:szCs w:val="21"/>
        </w:rPr>
        <w:t xml:space="preserve">　　变电站投资低：由于组合式变压器体积小，结构紧凑，集变压器、低压设备、计量及测量于一体，无需配电房，进线从电缆沟导入，直接安装在负荷中心。电缆插头必要时可带电插拔，连接方便。降低了变电站投资成本，所以初期投资少，安装费用低。</w:t>
      </w:r>
    </w:p>
    <w:p w:rsidR="006506AE" w:rsidRPr="006506AE" w:rsidRDefault="006506AE" w:rsidP="006506AE">
      <w:pPr>
        <w:pStyle w:val="a3"/>
        <w:spacing w:line="384" w:lineRule="auto"/>
        <w:rPr>
          <w:rFonts w:ascii="Arial" w:hAnsi="Arial" w:cs="Arial"/>
          <w:b/>
          <w:color w:val="505050"/>
          <w:sz w:val="30"/>
          <w:szCs w:val="30"/>
        </w:rPr>
      </w:pPr>
      <w:r w:rsidRPr="006506AE">
        <w:rPr>
          <w:rFonts w:ascii="Arial" w:hAnsi="Arial" w:cs="Arial"/>
          <w:b/>
          <w:color w:val="505050"/>
          <w:sz w:val="30"/>
          <w:szCs w:val="30"/>
        </w:rPr>
        <w:lastRenderedPageBreak/>
        <w:t>订货须知</w:t>
      </w:r>
    </w:p>
    <w:p w:rsidR="006506AE" w:rsidRPr="006506AE" w:rsidRDefault="006506AE" w:rsidP="006506AE">
      <w:pPr>
        <w:jc w:val="left"/>
        <w:rPr>
          <w:rFonts w:ascii="Arial" w:eastAsia="宋体" w:hAnsi="Arial" w:cs="Arial"/>
          <w:color w:val="505050"/>
          <w:kern w:val="0"/>
          <w:szCs w:val="21"/>
        </w:rPr>
      </w:pPr>
      <w:r w:rsidRPr="006506AE">
        <w:rPr>
          <w:rFonts w:ascii="Arial" w:eastAsia="宋体" w:hAnsi="Arial" w:cs="Arial"/>
          <w:color w:val="505050"/>
          <w:kern w:val="0"/>
          <w:szCs w:val="21"/>
        </w:rPr>
        <w:t>a</w:t>
      </w:r>
      <w:r w:rsidRPr="006506AE">
        <w:rPr>
          <w:rFonts w:ascii="Arial" w:eastAsia="宋体" w:hAnsi="Arial" w:cs="Arial"/>
          <w:color w:val="505050"/>
          <w:kern w:val="0"/>
          <w:szCs w:val="21"/>
        </w:rPr>
        <w:t>、在订货时提供与产品有关的参数</w:t>
      </w:r>
    </w:p>
    <w:p w:rsidR="006506AE" w:rsidRPr="006506AE" w:rsidRDefault="006506AE" w:rsidP="006506AE">
      <w:pPr>
        <w:jc w:val="left"/>
        <w:rPr>
          <w:rFonts w:ascii="Arial" w:eastAsia="宋体" w:hAnsi="Arial" w:cs="Arial"/>
          <w:color w:val="505050"/>
          <w:kern w:val="0"/>
          <w:szCs w:val="21"/>
        </w:rPr>
      </w:pPr>
      <w:r w:rsidRPr="006506AE">
        <w:rPr>
          <w:rFonts w:ascii="Arial" w:eastAsia="宋体" w:hAnsi="Arial" w:cs="Arial"/>
          <w:color w:val="505050"/>
          <w:kern w:val="0"/>
          <w:szCs w:val="21"/>
        </w:rPr>
        <w:t>b</w:t>
      </w:r>
      <w:r w:rsidRPr="006506AE">
        <w:rPr>
          <w:rFonts w:ascii="Arial" w:eastAsia="宋体" w:hAnsi="Arial" w:cs="Arial"/>
          <w:color w:val="505050"/>
          <w:kern w:val="0"/>
          <w:szCs w:val="21"/>
        </w:rPr>
        <w:t>、</w:t>
      </w:r>
      <w:r w:rsidRPr="006506AE">
        <w:rPr>
          <w:rFonts w:ascii="Arial" w:eastAsia="宋体" w:hAnsi="Arial" w:cs="Arial"/>
          <w:color w:val="505050"/>
          <w:kern w:val="0"/>
          <w:szCs w:val="21"/>
        </w:rPr>
        <w:t xml:space="preserve"> </w:t>
      </w:r>
      <w:r w:rsidRPr="006506AE">
        <w:rPr>
          <w:rFonts w:ascii="Arial" w:eastAsia="宋体" w:hAnsi="Arial" w:cs="Arial"/>
          <w:color w:val="505050"/>
          <w:kern w:val="0"/>
          <w:szCs w:val="21"/>
        </w:rPr>
        <w:t>产品型号</w:t>
      </w:r>
    </w:p>
    <w:p w:rsidR="006506AE" w:rsidRPr="006506AE" w:rsidRDefault="006506AE" w:rsidP="006506AE">
      <w:pPr>
        <w:jc w:val="left"/>
        <w:rPr>
          <w:rFonts w:ascii="Arial" w:eastAsia="宋体" w:hAnsi="Arial" w:cs="Arial"/>
          <w:color w:val="505050"/>
          <w:kern w:val="0"/>
          <w:szCs w:val="21"/>
        </w:rPr>
      </w:pPr>
      <w:r w:rsidRPr="006506AE">
        <w:rPr>
          <w:rFonts w:ascii="Arial" w:eastAsia="宋体" w:hAnsi="Arial" w:cs="Arial"/>
          <w:color w:val="505050"/>
          <w:kern w:val="0"/>
          <w:szCs w:val="21"/>
        </w:rPr>
        <w:t>c</w:t>
      </w:r>
      <w:r w:rsidRPr="006506AE">
        <w:rPr>
          <w:rFonts w:ascii="Arial" w:eastAsia="宋体" w:hAnsi="Arial" w:cs="Arial"/>
          <w:color w:val="505050"/>
          <w:kern w:val="0"/>
          <w:szCs w:val="21"/>
        </w:rPr>
        <w:t>、</w:t>
      </w:r>
      <w:r w:rsidRPr="006506AE">
        <w:rPr>
          <w:rFonts w:ascii="Arial" w:eastAsia="宋体" w:hAnsi="Arial" w:cs="Arial"/>
          <w:color w:val="505050"/>
          <w:kern w:val="0"/>
          <w:szCs w:val="21"/>
        </w:rPr>
        <w:t xml:space="preserve"> </w:t>
      </w:r>
      <w:r w:rsidRPr="006506AE">
        <w:rPr>
          <w:rFonts w:ascii="Arial" w:eastAsia="宋体" w:hAnsi="Arial" w:cs="Arial"/>
          <w:color w:val="505050"/>
          <w:kern w:val="0"/>
          <w:szCs w:val="21"/>
        </w:rPr>
        <w:t>变压器容量</w:t>
      </w:r>
    </w:p>
    <w:p w:rsidR="006506AE" w:rsidRPr="006506AE" w:rsidRDefault="006506AE" w:rsidP="006506AE">
      <w:pPr>
        <w:jc w:val="left"/>
        <w:rPr>
          <w:rFonts w:ascii="Arial" w:eastAsia="宋体" w:hAnsi="Arial" w:cs="Arial"/>
          <w:color w:val="505050"/>
          <w:kern w:val="0"/>
          <w:szCs w:val="21"/>
        </w:rPr>
      </w:pPr>
      <w:r w:rsidRPr="006506AE">
        <w:rPr>
          <w:rFonts w:ascii="Arial" w:eastAsia="宋体" w:hAnsi="Arial" w:cs="Arial"/>
          <w:color w:val="505050"/>
          <w:kern w:val="0"/>
          <w:szCs w:val="21"/>
        </w:rPr>
        <w:t>d</w:t>
      </w:r>
      <w:r w:rsidRPr="006506AE">
        <w:rPr>
          <w:rFonts w:ascii="Arial" w:eastAsia="宋体" w:hAnsi="Arial" w:cs="Arial"/>
          <w:color w:val="505050"/>
          <w:kern w:val="0"/>
          <w:szCs w:val="21"/>
        </w:rPr>
        <w:t>、高</w:t>
      </w:r>
      <w:r w:rsidRPr="006506AE">
        <w:rPr>
          <w:rFonts w:ascii="Arial" w:eastAsia="宋体" w:hAnsi="Arial" w:cs="Arial"/>
          <w:color w:val="505050"/>
          <w:kern w:val="0"/>
          <w:szCs w:val="21"/>
        </w:rPr>
        <w:t>/</w:t>
      </w:r>
      <w:r w:rsidRPr="006506AE">
        <w:rPr>
          <w:rFonts w:ascii="Arial" w:eastAsia="宋体" w:hAnsi="Arial" w:cs="Arial"/>
          <w:color w:val="505050"/>
          <w:kern w:val="0"/>
          <w:szCs w:val="21"/>
        </w:rPr>
        <w:t>低压侧接线方案及选择电器元件的类型和参数</w:t>
      </w:r>
    </w:p>
    <w:p w:rsidR="006506AE" w:rsidRPr="006506AE" w:rsidRDefault="006506AE" w:rsidP="006506AE">
      <w:pPr>
        <w:jc w:val="left"/>
        <w:rPr>
          <w:rFonts w:ascii="Arial" w:eastAsia="宋体" w:hAnsi="Arial" w:cs="Arial"/>
          <w:color w:val="505050"/>
          <w:kern w:val="0"/>
          <w:szCs w:val="21"/>
        </w:rPr>
      </w:pPr>
      <w:r w:rsidRPr="006506AE">
        <w:rPr>
          <w:rFonts w:ascii="Arial" w:eastAsia="宋体" w:hAnsi="Arial" w:cs="Arial"/>
          <w:color w:val="505050"/>
          <w:kern w:val="0"/>
          <w:szCs w:val="21"/>
        </w:rPr>
        <w:t>e</w:t>
      </w:r>
      <w:r w:rsidRPr="006506AE">
        <w:rPr>
          <w:rFonts w:ascii="Arial" w:eastAsia="宋体" w:hAnsi="Arial" w:cs="Arial"/>
          <w:color w:val="505050"/>
          <w:kern w:val="0"/>
          <w:szCs w:val="21"/>
        </w:rPr>
        <w:t>、壳体颜色</w:t>
      </w:r>
    </w:p>
    <w:p w:rsidR="006506AE" w:rsidRPr="000B0501" w:rsidRDefault="006506AE" w:rsidP="000B0501">
      <w:pPr>
        <w:pStyle w:val="a3"/>
        <w:spacing w:line="384" w:lineRule="auto"/>
        <w:rPr>
          <w:rFonts w:ascii="Arial" w:hAnsi="Arial" w:cs="Arial"/>
          <w:color w:val="505050"/>
          <w:sz w:val="21"/>
          <w:szCs w:val="21"/>
        </w:rPr>
      </w:pPr>
    </w:p>
    <w:p w:rsidR="000B0501" w:rsidRPr="000B0501" w:rsidRDefault="000B0501">
      <w:pPr>
        <w:rPr>
          <w:szCs w:val="21"/>
        </w:rPr>
      </w:pPr>
    </w:p>
    <w:sectPr w:rsidR="000B0501" w:rsidRPr="000B0501" w:rsidSect="006B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742" w:rsidRDefault="00B32742" w:rsidP="00842846">
      <w:r>
        <w:separator/>
      </w:r>
    </w:p>
  </w:endnote>
  <w:endnote w:type="continuationSeparator" w:id="0">
    <w:p w:rsidR="00B32742" w:rsidRDefault="00B32742" w:rsidP="00842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742" w:rsidRDefault="00B32742" w:rsidP="00842846">
      <w:r>
        <w:separator/>
      </w:r>
    </w:p>
  </w:footnote>
  <w:footnote w:type="continuationSeparator" w:id="0">
    <w:p w:rsidR="00B32742" w:rsidRDefault="00B32742" w:rsidP="008428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501"/>
    <w:rsid w:val="000B0501"/>
    <w:rsid w:val="006506AE"/>
    <w:rsid w:val="006B11C9"/>
    <w:rsid w:val="00842846"/>
    <w:rsid w:val="009B09B7"/>
    <w:rsid w:val="00B32742"/>
    <w:rsid w:val="00E310B1"/>
    <w:rsid w:val="00F1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5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42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4284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42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428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59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72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2012-05-11T03:53:00Z</dcterms:created>
  <dcterms:modified xsi:type="dcterms:W3CDTF">2012-05-11T03:54:00Z</dcterms:modified>
</cp:coreProperties>
</file>